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Segnalazione certificata di inizio attivita' (SCIA) per esercizi di commercio al dettaglio - media struttura di vendita con superficie fino a mq. 1.500</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segnalazione certificata di inizio attivita' (SCIA) per esercizi di commercio al dettaglio - media struttura di vendita con superficie fino a mq. 1.500.</w:t>
            </w:r>
          </w:p>
          <w:p>
            <w:pPr>
              <w:jc w:val="both"/>
            </w:pPr>
            <w:r>
              <w:rPr>
                <w:rFonts w:ascii="Times New Roman" w:hAnsi="Times New Roman"/>
                <w:sz w:val="22"/>
                <w:szCs w:val="22"/>
              </w:rPr>
              <w:t xml:space="preserve">Per "medie strutture di vendita" si intendono gli esercizi commerciali aventi superficie di vendita da mq. 251 a mq. 2500. In particolare sono classificate: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 Medio-piccole strutture di vendita se la superficie e' da 250 mq. a 1.500 mq.</w:t>
            </w:r>
          </w:p>
          <w:p>
            <w:pPr>
              <w:jc w:val="both"/>
            </w:pPr>
            <w:r>
              <w:rPr>
                <w:rFonts w:ascii="Times New Roman" w:hAnsi="Times New Roman"/>
                <w:sz w:val="22"/>
                <w:szCs w:val="22"/>
              </w:rPr>
              <w:t xml:space="preserve"> Medio-grandi strutture di vendita: se la superficie e' da 1.500 mq. a 2.500 mq.</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Per superficie di vendita di un esercizio commerciale, si intende l'area destinata alla vendita, compresa quella occupata da banchi, scaffalature, vetrine e simili. Non costituisce superficie di vendita quella destinata a magazzini, depositi, locali di lavorazione, uffici e servizi.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445/2000 - D.Lgs. 59/2010 - D.P.R. 160/2010 - Regolamento per la semplificazione e il riordino della disciplina sul SUAP - D.Lgs. 222/2016 - Regolamento SUAP</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Termini intermedi che sospendono o interrompono il procedimento: sospensione per integrazione documentale</w:t>
            </w:r>
          </w:p>
          <w:p>
            <w:pPr>
              <w:jc w:val="both"/>
            </w:pPr>
            <w:r>
              <w:rPr>
                <w:rFonts w:ascii="Times New Roman" w:hAnsi="Times New Roman"/>
                <w:sz w:val="22"/>
                <w:szCs w:val="22"/>
              </w:rPr>
              <w:t xml:space="preserve">- Termine per la conclusione: per l'apertura, il trasferimento di sede, l'ampliamento della superficie di vendita e l'aggiunta di un nuovo settore merceologico: 60 GG (per media struttura) - Per il subingresso nella gestione, la riduzione di superficie di vendita o di settore merceologico: l'inizio o la variazione dell'attivita' puo' avvenire subito dopo la presentazione al Comune della Segnalazione Certificata di Inizio Attivita' (SCIA)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silenzio assenso (per il subingresso nella gestione, la riduzione di superficie di vendita o di settore merceologico) o provvedimento espresso e motivato: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