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Convalida consiglieri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nell'assistenza alla convalida dei consiglieri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