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Patrimonio</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Locazione immobili urbani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Locazione immobili urbani.</w:t>
            </w:r>
          </w:p>
          <w:p>
            <w:pPr>
              <w:jc w:val="both"/>
            </w:pPr>
            <w:r>
              <w:rPr>
                <w:rFonts w:ascii="Times New Roman" w:hAnsi="Times New Roman"/>
                <w:sz w:val="22"/>
                <w:szCs w:val="22"/>
              </w:rPr>
              <w:t xml:space="preserve">I contratti di diritto privato per l'utilizzo dei beni del patrimonio disponibile vengono assegnati, di norma, a seguito di un procedimento di evidenza pubblica garantito da pubblici avvisi di messa in disponibilita' che descrivono le condizioni essenziali del futuro contratto. Nel caso di assenza di offerte valide, l'Amministrazione si riserva di attivare trattative dirette con soggetti interessati.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Patrimonio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Patrimonio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N.R.</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Provvedimento espresso e motivato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Ricorso entro i termini indicati nel provvedimento da impugnare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