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Esercizi di commercio al dettaglio grandi strutture di vendita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esercizi di commercio al dettaglio grandi strutture di vendita.</w:t>
            </w:r>
          </w:p>
          <w:p>
            <w:pPr>
              <w:jc w:val="both"/>
            </w:pPr>
            <w:r>
              <w:rPr>
                <w:rFonts w:ascii="Times New Roman" w:hAnsi="Times New Roman"/>
                <w:sz w:val="22"/>
                <w:szCs w:val="22"/>
              </w:rPr>
              <w:t xml:space="preserve">Gli esercizi commerciali si distinguono in differenti categorie e tipologie:</w:t>
            </w:r>
          </w:p>
          <w:p>
            <w:pPr>
              <w:jc w:val="both"/>
            </w:pPr>
            <w:r>
              <w:rPr>
                <w:rFonts w:ascii="Times New Roman" w:hAnsi="Times New Roman"/>
                <w:sz w:val="22"/>
                <w:szCs w:val="22"/>
              </w:rPr>
              <w:t xml:space="preserve">Esercizio di vicinato: esercizio commerciale in cui si effettua la vendita direttamente al consumatore finale, con una superficie di vendita non superiore a 150 mq nei Comuni con popolazione residente inferiore a 10.000 abitanti e a 250 mq nei Comuni con oltre 10.000 abitanti;</w:t>
            </w:r>
          </w:p>
          <w:p>
            <w:pPr>
              <w:jc w:val="both"/>
            </w:pPr>
            <w:r>
              <w:rPr>
                <w:rFonts w:ascii="Times New Roman" w:hAnsi="Times New Roman"/>
                <w:sz w:val="22"/>
                <w:szCs w:val="22"/>
              </w:rPr>
              <w:t xml:space="preserve">Media struttura di vendita al dettaglio: esercizio commerciale in cui si effettua la vendita direttamente al consumatore finale con una superficie di vendita compresa tra i 151 ed i 1500 mq nei Comuni con popolazione residente inferiore a 10.000 abitanti e tra i 251 ed i 2500 mq nei Comuni con popolazione residente superiore ai 10.000 abitanti;</w:t>
            </w:r>
          </w:p>
          <w:p>
            <w:pPr>
              <w:jc w:val="both"/>
            </w:pPr>
            <w:r>
              <w:rPr>
                <w:rFonts w:ascii="Times New Roman" w:hAnsi="Times New Roman"/>
                <w:sz w:val="22"/>
                <w:szCs w:val="22"/>
              </w:rPr>
              <w:t xml:space="preserve">Grande struttura di vendita al dettaglio: esercizio commerciale in cui si effettua la vendita direttamente al consumatore finale con una superficie di vendita superiore ai 1500 mq nei comuni con 10.000 abitanti ed ai 2500 mq nei Comuni con oltre 10.000 abitanti.</w:t>
            </w:r>
          </w:p>
          <w:p>
            <w:pPr>
              <w:jc w:val="both"/>
            </w:pPr>
            <w:r>
              <w:rPr>
                <w:rFonts w:ascii="Times New Roman" w:hAnsi="Times New Roman"/>
                <w:sz w:val="22"/>
                <w:szCs w:val="22"/>
              </w:rPr>
              <w:t xml:space="preserve">Rilevante e' anche la tipologia del centro commerciale: medie o grandi strutture di vendita nelle quali piu' esercizi commerciali inserite in una struttura a destinazione specifica con infrastrutture comuni e spazi di servizio gestiti unitariamente. Possono comprendere anche pubblici esercizi e attivita' paracommerciali (quali servizi bancari, servizi alla persona, ecc.). Ai fini dell'individuazione delle norme sulle procedure autorizzative e delle prescrizioni e requisiti urbanistici, deve essere considerata unica l'aggregazione di piu' esercizi commerciali anche se collocati in unita' edilizie distinte, purche' situate in un lotto unitario e dotate di collegamenti funzionali ed, in ogni caso, quando gli esercizi siano collocati in unita' edilizie fisicamente accostate.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Per superficie di vendita di un centro commerciale s'intende la risultante dalla somma delle superfici di vendita degli esercizi al dettaglio in esso presenti. Per quanto riguarda le procedure autorizzative, i centri commerciali sono equiparati ai singoli esercizi, ma la loro superficie di vendita e' quella complessiva;</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fini della esatta individuazione della tipologia di esercizio commerciale e della modalita' autorizzatoria da applicare e' necessario far riferimento ad alcuni elementi: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Popolazione residente: per popolazione residente si intende quella risultante dal dato anagrafico riferito al 31 dicembre dell'anno precedente;</w:t>
            </w:r>
          </w:p>
          <w:p>
            <w:pPr>
              <w:jc w:val="both"/>
            </w:pPr>
            <w:r>
              <w:rPr>
                <w:rFonts w:ascii="Times New Roman" w:hAnsi="Times New Roman"/>
                <w:sz w:val="22"/>
                <w:szCs w:val="22"/>
              </w:rPr>
              <w:t xml:space="preserve">Superficie di vendita: l'area o le aree destinate alla vendita, comprese quelle occupate da banchi, scaffalature, vetrine e quelle dei locali frequentabili dai clienti, adibiti all'esposizione delle merci e collegati direttamente all'esercizio di vendita. Non costituisce, invece, superficie di vendita quella destinata a magazzini, depositi, lavorazioni, uffici, servizi igienici, impianti tecnici ed altri servizi nei quali non e' previsto l'accesso dei clienti, nonche' gli spazi di avancassa, purche' non adibiti all'esposizione di merci. (punto 1.6, Delibera Consiglio regionale n. 1253/1999);</w:t>
            </w:r>
          </w:p>
          <w:p>
            <w:pPr>
              <w:jc w:val="both"/>
            </w:pPr>
            <w:r>
              <w:rPr>
                <w:rFonts w:ascii="Times New Roman" w:hAnsi="Times New Roman"/>
                <w:sz w:val="22"/>
                <w:szCs w:val="22"/>
              </w:rPr>
              <w:t xml:space="preserve">Categoria merceologica: l'attivita' commerciale puo' essere esercitata con riferimento a 2 settori, alimentare e non alimentare;</w:t>
            </w:r>
          </w:p>
          <w:p>
            <w:pPr>
              <w:jc w:val="both"/>
            </w:pPr>
            <w:r>
              <w:rPr>
                <w:rFonts w:ascii="Times New Roman" w:hAnsi="Times New Roman"/>
                <w:sz w:val="22"/>
                <w:szCs w:val="22"/>
              </w:rPr>
              <w:t xml:space="preserve">Destinatari finali l'attivita' commerciale: vendita all'ingrosso o al dettaglio; in particolare, con riferimento ai settori merceologici, e' necessario tenere in considerazione alcune prescrizioni specifiche a proposito di determinate attivita' commerciali: agli esercizi di vendita di prodotti rientranti nelle tabelle speciali, quali le farmacie, le rivendite di generi di monopolio, gli impianti di distribuzione automatica di carburante, non si applica il D.Lgs. n. 114/1998; per le attivita' di vendita di piante, parti di piante, sementi, bulbi e rizomi, esclusi i fiori recisi e la vendita di preziosi, di cose antiche e di cose usate, esclusa la vendita di oggetti d'arte e opere dell'ingegno effettuata direttamente dall'artista che le ha realizzate, dovra' essere presentata, oltre alla richiesta di autorizzazione per la struttura commerciale di vendita, anche apposita istanza prevista dalle specifiche normative di settore. Negli esercizi commerciali si possono effettuare attivita' di vendita al pubblico dei farmaci da banco o di automedicazione, e di tutti i farmaci o prodotti non soggetti a prescrizione medica, previa comunicazione al Ministero della Salute, alla Regione e al Comune in cui ha sede l'esercizio. La vendita di tali prodotti e' consentita durante l'orario di apertura dell'esercizio e deve essere effettuata nell'ambito di un apposito reparto, alla presenza e con l'assistenza personale e diretta al cliente di uno o piu' farmacisti abilitati all'esercizio della professione ed iscritti al relativo ordine. Sono, comunque, vietati i concorsi, le operazioni a premio e le vendite sotto costo aventi ad oggetto farmaci. Inoltre, ciascun distributore al dettaglio puo' determinare liberamente lo sconto sul prezzo indicato dal produttore o dal distributore sulla confezione del farmaco, purche' lo sconto sia esposto in modo leggibile e chiaro al consumatore e sia praticato a tutti gli acquirenti. Il Ministero della Salute ha emanato in data 3 ottobre 2006 la circolare n. 3 che fornisce indicazioni in merito ai prodotti vendibili, alla segnalazione certificata di inizio attivita' da presentare, al reparto, all'insegna, alla pubblicita', alle modalita' di vendita.</w:t>
            </w:r>
          </w:p>
          <w:p>
            <w:pPr>
              <w:jc w:val="both"/>
            </w:pPr>
            <w:r>
              <w:rPr>
                <w:rFonts w:ascii="Times New Roman" w:hAnsi="Times New Roman"/>
                <w:sz w:val="22"/>
                <w:szCs w:val="22"/>
              </w:rPr>
              <w:t xml:space="preserve">Con riferimento alla distinzione tra commercio all'ingrosso e commercio al dettaglio, e' necessario tenere in considerazione alcune prescrizioni. Innanzitutto, e' vietato esercitare congiuntamente nello stesso punto di vendita le attivita' di commercio all'ingrosso e al dettaglio. Il divieto non si applica (come stabilito dalla L.R. n. 6/2007 che introduce l'art. 19-bis nella L.R. n. 14 del 1999)1 per la vendita dei seguenti prodotti:</w:t>
            </w:r>
          </w:p>
          <w:p>
            <w:pPr>
              <w:jc w:val="both"/>
            </w:pPr>
            <w:r>
              <w:rPr>
                <w:rFonts w:ascii="Times New Roman" w:hAnsi="Times New Roman"/>
                <w:sz w:val="22"/>
                <w:szCs w:val="22"/>
              </w:rPr>
              <w:t xml:space="preserve">a) macchine, attrezzature e articoli tecnici per l'agricoltura, l'industria, il commercio e l'artigianato;</w:t>
            </w:r>
          </w:p>
          <w:p>
            <w:pPr>
              <w:jc w:val="both"/>
            </w:pPr>
            <w:r>
              <w:rPr>
                <w:rFonts w:ascii="Times New Roman" w:hAnsi="Times New Roman"/>
                <w:sz w:val="22"/>
                <w:szCs w:val="22"/>
              </w:rPr>
              <w:t xml:space="preserve">b) materiale elettrico;</w:t>
            </w:r>
          </w:p>
          <w:p>
            <w:pPr>
              <w:jc w:val="both"/>
            </w:pPr>
            <w:r>
              <w:rPr>
                <w:rFonts w:ascii="Times New Roman" w:hAnsi="Times New Roman"/>
                <w:sz w:val="22"/>
                <w:szCs w:val="22"/>
              </w:rPr>
              <w:t xml:space="preserve">c) colori e vernici, carte da parati;</w:t>
            </w:r>
          </w:p>
          <w:p>
            <w:pPr>
              <w:jc w:val="both"/>
            </w:pPr>
            <w:r>
              <w:rPr>
                <w:rFonts w:ascii="Times New Roman" w:hAnsi="Times New Roman"/>
                <w:sz w:val="22"/>
                <w:szCs w:val="22"/>
              </w:rPr>
              <w:t xml:space="preserve">d) ferramenta ed utensileria;</w:t>
            </w:r>
          </w:p>
          <w:p>
            <w:pPr>
              <w:jc w:val="both"/>
            </w:pPr>
            <w:r>
              <w:rPr>
                <w:rFonts w:ascii="Times New Roman" w:hAnsi="Times New Roman"/>
                <w:sz w:val="22"/>
                <w:szCs w:val="22"/>
              </w:rPr>
              <w:t xml:space="preserve">e) articoli per impianti idraulici, a gas ed igienici;</w:t>
            </w:r>
          </w:p>
          <w:p>
            <w:pPr>
              <w:jc w:val="both"/>
            </w:pPr>
            <w:r>
              <w:rPr>
                <w:rFonts w:ascii="Times New Roman" w:hAnsi="Times New Roman"/>
                <w:sz w:val="22"/>
                <w:szCs w:val="22"/>
              </w:rPr>
              <w:t xml:space="preserve">f) articoli per riscaldamento;</w:t>
            </w:r>
          </w:p>
          <w:p>
            <w:pPr>
              <w:jc w:val="both"/>
            </w:pPr>
            <w:r>
              <w:rPr>
                <w:rFonts w:ascii="Times New Roman" w:hAnsi="Times New Roman"/>
                <w:sz w:val="22"/>
                <w:szCs w:val="22"/>
              </w:rPr>
              <w:t xml:space="preserve">g) strumenti scientifici e di misura;</w:t>
            </w:r>
          </w:p>
          <w:p>
            <w:pPr>
              <w:jc w:val="both"/>
            </w:pPr>
            <w:r>
              <w:rPr>
                <w:rFonts w:ascii="Times New Roman" w:hAnsi="Times New Roman"/>
                <w:sz w:val="22"/>
                <w:szCs w:val="22"/>
              </w:rPr>
              <w:t xml:space="preserve">h) macchine per ufficio;</w:t>
            </w:r>
          </w:p>
          <w:p>
            <w:pPr>
              <w:jc w:val="both"/>
            </w:pPr>
            <w:r>
              <w:rPr>
                <w:rFonts w:ascii="Times New Roman" w:hAnsi="Times New Roman"/>
                <w:sz w:val="22"/>
                <w:szCs w:val="22"/>
              </w:rPr>
              <w:t xml:space="preserve">i) auto-moto-cicli e relativi accessori e parti di ricambio;</w:t>
            </w:r>
          </w:p>
          <w:p>
            <w:pPr>
              <w:jc w:val="both"/>
            </w:pPr>
            <w:r>
              <w:rPr>
                <w:rFonts w:ascii="Times New Roman" w:hAnsi="Times New Roman"/>
                <w:sz w:val="22"/>
                <w:szCs w:val="22"/>
              </w:rPr>
              <w:t xml:space="preserve">j) combustibili;</w:t>
            </w:r>
          </w:p>
          <w:p>
            <w:pPr>
              <w:jc w:val="both"/>
            </w:pPr>
            <w:r>
              <w:rPr>
                <w:rFonts w:ascii="Times New Roman" w:hAnsi="Times New Roman"/>
                <w:sz w:val="22"/>
                <w:szCs w:val="22"/>
              </w:rPr>
              <w:t xml:space="preserve">k) materiali per l'edilizia;</w:t>
            </w:r>
          </w:p>
          <w:p>
            <w:pPr>
              <w:jc w:val="both"/>
            </w:pPr>
            <w:r>
              <w:rPr>
                <w:rFonts w:ascii="Times New Roman" w:hAnsi="Times New Roman"/>
                <w:sz w:val="22"/>
                <w:szCs w:val="22"/>
              </w:rPr>
              <w:t xml:space="preserve">l) legnami;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90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