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Segreteria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Assistenza organi istituzionali: Surroghe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nell'assistenza alla compilazione dei surroghi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Delibera di Consiglio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consiglieri chiamati a ricoprire un seggio vacante entrano in carica 'non appena adottata la relativa deliberazione' di surrogazione da parte del Consiglio comunale che procede a sostituire il consigliere cessato dalla carica con il candidato che, nella medesima lista, segue immediatamente l'ultimo eletto (art. 45, comma 1, TUEL).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