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CILA (Clausola residuale)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Sono realizzabili mediante comunicazione di inizio lavori asseverata gli interventi non riconducibili all'elenco di cui all'art. 6, 10 e 22 del d.p.r. n. 380 del 2001, fatte salve le prescrizioni degli strumenti urbanistici, dei regolamenti edilizi e della disciplina urbanistico-edilizia vigente, e comunque nel rispetto delle altre normative di settore averti incidenza sulla disciplina dell'attivita' e, in particolare, delle norme antisismiche, di sicurezza, antincendio, igienico sanitarie, di quelle relative all'efficienza energetica, di tutela del rischio idrogeologico, nonche' delle disposizioni contenute nel codice dei beni culturali e del paesaggio, di cui al decreto 22 gennaio 2004 n. 42.</w:t>
            </w:r>
          </w:p>
          <w:p>
            <w:pPr>
              <w:jc w:val="both"/>
            </w:pPr>
            <w:r>
              <w:rPr>
                <w:rFonts w:ascii="Times New Roman" w:hAnsi="Times New Roman"/>
                <w:sz w:val="22"/>
                <w:szCs w:val="22"/>
              </w:rPr>
              <w:t xml:space="preserve">Nel caso in cui, per la realizzazione dell'intervento siano necessari altri titoli di legittimazione, questi vanno acquisiti preventivamente.</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