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Ecologia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Modifica sostanziale di impianto AUA - Autorizzazione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Modifica sostanziale di impianto AUA - Autorizzazione. Va comunicata, da parte dei soggetti istanti l'A.U.A., ogni modifica che "possa produrre effetti sull'ambiente" e, dunque, ogni modifica relativa all'utilizzo di sostanze e di cicli di prodotto. Pertanto, ai fini dell'applicabilita' della norma, non rileva che la modifica introdotta sia poi ritenuta, a seguito di concreta valutazione espletata dalle amministrazioni competenti, non influente sull'ambiente, posto che la modifica debba essere comunicata anche solo se potenzialmente idonea a produrre effetti sull'ambiente.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Nel caso quindi di una modifica sostanziale, come prevede l'art. 6 comma 2 del D.P.R. n. 59/2013, il gestore e' obbligato a presentare una nuova domanda di A.U.A.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Ecologia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Ecologia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90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Strumenti di tutela giurisdizionali: ricorso al TAR entro 60 giorni/Presidente della Repubblica Stato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