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Tributi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Controllo Imposta comunale sulla pubblicita' e gestione dei diritti di affissione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controllo dell' Imposta comunale sulla pubblicita' e gestione dei diritti di affissione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507/1993 - Revisione ed armonizzazione imposta comunale sulla pubblicita' e del diritto sulle pubbliche affissioni - D.Lgs. 566/1993 - Disposizioni correttive al D.Lgs. 507/1993 - Regolamento comunale per l'applicazione dell'imposta comunale sulla pubblicita' e sui diritti delle pubbliche affissioni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Tributi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Tributi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Nei termini fissati dallo statuto o dai regolamenti comunali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avanti alla Commissione Tributaria Provinciale.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Ricorso/Reclamo giurisdizionale alla Commissione Tributaria entro 60 giorni dalla notifica del provvedimento ai sensi del D.Lgs 546/1992, (1Â? e 2Â? grado) - Ricorso in Cassazione (3Â? grado)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