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SEGRETERIA</w:t>
      </w:r>
      <w:r>
        <w:rPr>
          <w:rFonts w:ascii="Arial" w:hAnsi="Arial" w:cs="Tahoma"/>
          <w:b/>
          <w:color w:val="2A58A7"/>
        </w:rPr>
        <w:t xml:space="preserve"> </w:t>
      </w:r>
      <w:r w:rsidRPr="004D2B3E">
        <w:rPr>
          <w:rFonts w:ascii="Arial" w:hAnsi="Arial" w:cs="Tahoma"/>
          <w:b/>
          <w:color w:val="2A58A7"/>
        </w:rPr>
        <w:t>SERVIZIO SEGRETERIA</w:t>
      </w:r>
      <w:r>
        <w:rPr>
          <w:rFonts w:ascii="Arial" w:hAnsi="Arial" w:cs="Tahoma"/>
          <w:b/>
          <w:color w:val="2A58A7"/>
        </w:rPr>
        <w:t xml:space="preserve"> </w:t>
      </w:r>
      <w:r w:rsidRPr="004D2B3E">
        <w:rPr>
          <w:rFonts w:ascii="Arial" w:hAnsi="Arial" w:cs="Tahoma"/>
          <w:b/>
          <w:color w:val="2A58A7"/>
        </w:rPr>
        <w:t>Tutti gli uffici - Attivita' trasversale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Accesso civico semplice concernente dati, documenti e informazioni soggetti a pubblicazione obbligatoria ai sensi del D.Lgs. 33/2013</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nell'accesso civico semplice concernente dati, documenti e informazioni soggetti a pubblicazione obbligatoria ai sensi del D. Lgs. 33/2013.</w:t>
            </w:r>
          </w:p>
          <w:p>
            <w:pPr>
              <w:jc w:val="both"/>
            </w:pPr>
            <w:r>
              <w:rPr>
                <w:rFonts w:ascii="Times New Roman" w:hAnsi="Times New Roman"/>
                <w:sz w:val="22"/>
                <w:szCs w:val="22"/>
              </w:rPr>
              <w:t xml:space="preserve">Accesso civico semplice che consente a chiunque - senza indicare motivazioni - il diritto di richiedere ad una pubblica amministrazione documenti, informazioni e dati nei casi in cui sia stata omessa la loro pubblicazione;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D.Lgs. n. 267/2000 - D.Lgs. n. 82/2005 - L. 190/2012 - D.Lgs.n. 33/2013 - DPR n. 62/2013 - Statuto - Regolamento sul procedimento amministrativo - L. 241/1990 - D.Lgs. 33/2013 - Regolamento sull'esercizio del diritto d'accesso - D.P.R. 184/2006 - Linee guida ANAC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SEGRETERIA SERVIZIO SERVIZIO SEGRETERIA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Tutti gli uffici - Attivita' trasversale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Fazia Mercadante Umberto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Tutti gli uffici - Attivita' trasversale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Il richiedente puo' presentare richiesta di riesame al responsabile della prevenzione della corruzione e della trasparenza, di cui all'articolo 43, che decide con provvedimento motivato, entro il termine di venti giorni. Avverso la decisione dell'amministrazione competente o, in caso di richiesta di riesame, avverso quella del responsabile della prevenzione della corruzione e della trasparenza, il richiedente puo' proporre ricorso al Tribunale amministrativo regionale ai sensi dell'articolo 116 del Codice del processo amministrativo di cui al decreto legislativo 2 luglio 2010, n. 104.</w:t>
            </w:r>
          </w:p>
          <w:p>
            <w:pPr>
              <w:jc w:val="both"/>
            </w:pPr>
            <w:r>
              <w:rPr>
                <w:rFonts w:ascii="Times New Roman" w:hAnsi="Times New Roman"/>
                <w:sz w:val="22"/>
                <w:szCs w:val="22"/>
              </w:rPr>
              <w:t xml:space="preserve">- Qualora si tratti di atti delle amministrazioni delle regioni o degli enti locali, il richiedente puo' altresi' presentare ricorso al difensore civico competente per ambito territoriale, ove costituito. Qualora tale organo non sia stato istituito, la competenza e' attribuita al difensore civico competente per l'ambito territoriale immediatamente superiore. Il ricorso va altresi' notificato all'amministrazione interessata.Qualora il richiedente l'accesso si sia rivolto al difensore civico, il termine di cui all'articolo 116, comma 1, del Codice del processo amministrativo decorre dalla data di ricevimento, da parte del richiedente, dell'esito della sua istanza al difensore civico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