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Stato civile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Trascrizione atto di morte pervenuto da altro Comune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dei registri di Stato civile, relativamente alla trascrizione dell' atto di morte pervenuto da altro Comune.</w:t>
            </w:r>
          </w:p>
          <w:p>
            <w:pPr>
              <w:jc w:val="both"/>
            </w:pPr>
            <w:r>
              <w:rPr>
                <w:rFonts w:ascii="Times New Roman" w:hAnsi="Times New Roman"/>
                <w:sz w:val="22"/>
                <w:szCs w:val="22"/>
              </w:rPr>
              <w:t xml:space="preserve">Se il defunto era residente in un altro comune, l'ufficiale dello stato civile, che ha formato l'atto di morte, deve anche trasmetterne copia entro dieci giorni, ai fini della trascrizione, all'ufficiale dello stato civile del comune in cui il defunto aveva la sua residenza.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396/2000 - Regolamento per la revisione e la semplificazione dell'ordinamento dello stato civile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Atti e documenti elencati nel MODULO di presentazione dell'istanza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Modulo per la presentazione dell'istanza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trascrizione dell'atto di morte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