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Taxi -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di autorizzazione per Taxi.</w:t>
            </w:r>
          </w:p>
          <w:p>
            <w:pPr>
              <w:jc w:val="both"/>
            </w:pPr>
            <w:r>
              <w:rPr>
                <w:rFonts w:ascii="Times New Roman" w:hAnsi="Times New Roman"/>
                <w:sz w:val="22"/>
                <w:szCs w:val="22"/>
              </w:rPr>
              <w:t xml:space="preserve">Sono definiti autotrasporti pubblici non di linea quelli che provvedono al trasporto collettivo o individuale di persone, con funzione complementare e integrativa rispetto ai trasporti pubblici di linea e che vengono effettuati, a richiesta dei trasportati, in modo non continuativo o periodico, su itinerari e secondo orari stabiliti di volta in volta.</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Sono servizi pubblici non di linea:</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il servizio di taxi con autovettura, motocarrozzetta, natante e veicoli a trazione animale;</w:t>
            </w:r>
          </w:p>
          <w:p>
            <w:pPr>
              <w:jc w:val="both"/>
            </w:pPr>
            <w:r>
              <w:rPr>
                <w:rFonts w:ascii="Times New Roman" w:hAnsi="Times New Roman"/>
                <w:sz w:val="22"/>
                <w:szCs w:val="22"/>
              </w:rPr>
              <w:t xml:space="preserve">il servizio di noleggio con conducente e autovettura, motocarrozzetta, natante e veicoli a trazione animale;</w:t>
            </w:r>
          </w:p>
          <w:p>
            <w:pPr>
              <w:jc w:val="both"/>
            </w:pPr>
            <w:r>
              <w:rPr>
                <w:rFonts w:ascii="Times New Roman" w:hAnsi="Times New Roman"/>
                <w:sz w:val="22"/>
                <w:szCs w:val="22"/>
              </w:rPr>
              <w:t xml:space="preserve"> </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Il servizio di taxi ha lo scopo di soddisfare le esigenze del trasporto individuale o di piccoli gruppi di persone; si rivolge ad una utenza indifferenziata, con stazionamento in luogo pubblico stabilito dal Comune; il prelevamento dell'utente e/o l'inizio del servizio avvengono di regola all'interno dell'area comunale, ma e' consentito l'esercizio dell'attivita' anche al di fuori del territorio dei Comuni che hanno rilasciato la licenza sulla base di accordi sottoscritti dai sindaci dei Comuni interessati.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Il Comune, con proprio regolamento, stabilisce: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il numero ed il tipo di veicoli da adibire ad ogni singolo servizio;</w:t>
            </w:r>
          </w:p>
          <w:p>
            <w:pPr>
              <w:jc w:val="both"/>
            </w:pPr>
            <w:r>
              <w:rPr>
                <w:rFonts w:ascii="Times New Roman" w:hAnsi="Times New Roman"/>
                <w:sz w:val="22"/>
                <w:szCs w:val="22"/>
              </w:rPr>
              <w:t xml:space="preserve">le modalita' per lo svolgimento del servizio;</w:t>
            </w:r>
          </w:p>
          <w:p>
            <w:pPr>
              <w:jc w:val="both"/>
            </w:pPr>
            <w:r>
              <w:rPr>
                <w:rFonts w:ascii="Times New Roman" w:hAnsi="Times New Roman"/>
                <w:sz w:val="22"/>
                <w:szCs w:val="22"/>
              </w:rPr>
              <w:t xml:space="preserve">i criteri per la determinazione delle tariffe;</w:t>
            </w:r>
          </w:p>
          <w:p>
            <w:pPr>
              <w:jc w:val="both"/>
            </w:pPr>
            <w:r>
              <w:rPr>
                <w:rFonts w:ascii="Times New Roman" w:hAnsi="Times New Roman"/>
                <w:sz w:val="22"/>
                <w:szCs w:val="22"/>
              </w:rPr>
              <w:t xml:space="preserve">i requisiti e le condizioni per il rilascio della licenza;</w:t>
            </w:r>
          </w:p>
          <w:p>
            <w:pPr>
              <w:jc w:val="both"/>
            </w:pPr>
            <w:r>
              <w:rPr>
                <w:rFonts w:ascii="Times New Roman" w:hAnsi="Times New Roman"/>
                <w:sz w:val="22"/>
                <w:szCs w:val="22"/>
              </w:rPr>
              <w:t xml:space="preserve">E' inoltre consentito ai Comuni di prevedere che i titolari di licenza per il servizio taxi possano svolgere servizi integrativi quali il taxi ad uso collettivo o mediante altre forme di organizzazione del servizio.</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Con l'art. 36 del DL n. 201/2011, convertito con modificazione dalla legge n. 214/2011 successivamente modificato dal DL. N. 1/2012, convertito con modificazioni dalla L. 24 marzo 2012, n. 27, e' stata istituita l'Autorita' di regolazione dei trasporti, alla quale e' stata attribuita la funzione di supportare Comuni e Regioni nell'adeguare la normativa in materia di taxi ai principi europei di libera concorrenza.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n. 285 del 30 Aprile 1992 -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60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