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Rimborso somme versate erroneamente per violazioni amministrative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il rimborso di somme indebitamente riscosse dall'Ente e relative alle contravvenzioni elevate al C.d.S. o verbali di Polizia Urbana a seguito di presentazione di apposita istanza.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L. 689/1981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