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Realizzazione di pertinenze minori - CILA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negli interventi di realizzazione di pertinenze minori.</w:t>
            </w:r>
          </w:p>
          <w:p>
            <w:pPr>
              <w:jc w:val="both"/>
            </w:pPr>
            <w:r>
              <w:rPr>
                <w:rFonts w:ascii="Times New Roman" w:hAnsi="Times New Roman"/>
                <w:sz w:val="22"/>
                <w:szCs w:val="22"/>
              </w:rPr>
              <w:t xml:space="preserve">La Comunicazione di Inizio Lavori Asseverata (c.d. CILA) relativa a lavori di manutenzione straordinaria, inviata dal privato all'amministrazione competente, non e' sottoposta alla valutazione di ammissibilita' da parte della amministrazione stessa a cui residua esclusivamente il potere di controllare la conformita' dell'immobile oggetto della CILA alle prescrizioni vigenti.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D.P.R. 380/2001 - Testo Unico delle disposizioni legislative e regolamentari in materia edilizia - D.Lgs. 222/2016 - Individuazione di procedimenti oggetto di autorizzazione, SCIA, silenzio-assenso e comunicazione e di definizione dei regimi amministrativi applicabili a determinate attivita' e procedimenti - Legge regionale - Regolamento Edilizio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Dal momento che la comunicazione non necessita di autorizzazione, i lavori possono iniziare immediatamente dopo la sua presentazione.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-Non e' previso alcun provvedimento conclusivo e non si forma il silenzio, residua il controllo in capo all'amministrazione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 C.I.L.A. non costituisce provvedimento tacito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